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06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ook w:val="04A0" w:firstRow="1" w:lastRow="0" w:firstColumn="1" w:lastColumn="0" w:noHBand="0" w:noVBand="1"/>
      </w:tblPr>
      <w:tblGrid>
        <w:gridCol w:w="1071"/>
        <w:gridCol w:w="8318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36" w:type="dxa"/>
            <w:textDirection w:val="lrTb"/>
            <w:noWrap w:val="false"/>
          </w:tcPr>
          <w:p>
            <w:pPr>
              <w:spacing w:line="229" w:lineRule="atLeast"/>
              <w:tabs>
                <w:tab w:val="left" w:pos="4677" w:leader="none"/>
                <w:tab w:val="left" w:pos="935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76175195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</v:shape>
                  </w:pict>
                </mc:Fallback>
              </mc:AlternateConten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18" w:type="dxa"/>
            <w:textDirection w:val="lrTb"/>
            <w:noWrap w:val="false"/>
          </w:tcPr>
          <w:p>
            <w:pPr>
              <w:jc w:val="center"/>
              <w:spacing w:line="85" w:lineRule="atLeast"/>
              <w:tabs>
                <w:tab w:val="left" w:pos="4677" w:leader="none"/>
                <w:tab w:val="left" w:pos="935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/>
      <w:bookmarkStart w:id="0" w:name="undefined"/>
      <w:r>
        <w:rPr>
          <w:sz w:val="24"/>
          <w:szCs w:val="24"/>
        </w:rPr>
        <w:t xml:space="preserve">«СГЦ.04 Основы финансовой грамотности»</w:t>
      </w:r>
      <w:bookmarkEnd w:id="0"/>
      <w:r/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832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832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4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832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4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832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832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4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832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4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832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4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832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832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4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832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4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832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9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832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ОБЩАЯ ХАРАКТЕРИСТИКА РАБОЧЕЙ ПРОГРАММЫ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«СГЦ.04 Основы финансовой грамотности»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55"/>
        <w:numPr>
          <w:ilvl w:val="1"/>
          <w:numId w:val="10"/>
        </w:numPr>
        <w:spacing w:before="0" w:beforeAutospacing="0" w:after="200" w:afterAutospacing="0"/>
        <w:rPr>
          <w:b/>
          <w:bCs/>
          <w:color w:val="000000"/>
        </w:rPr>
      </w:pPr>
      <w:r>
        <w:rPr>
          <w:rStyle w:val="1_1437"/>
          <w:b/>
          <w:bCs/>
          <w:color w:val="000000"/>
          <w:sz w:val="24"/>
          <w:szCs w:val="24"/>
        </w:rPr>
        <w:t xml:space="preserve">Цель и место дисциплины в структуре  образовательной программы</w:t>
      </w:r>
      <w:r>
        <w:rPr>
          <w:rStyle w:val="1_1437"/>
          <w:b/>
          <w:bCs/>
          <w:color w:val="000000"/>
          <w:sz w:val="24"/>
          <w:szCs w:val="24"/>
        </w:rPr>
      </w:r>
      <w:r>
        <w:rPr>
          <w:rStyle w:val="1_1437"/>
          <w:b/>
          <w:bCs/>
          <w:color w:val="000000"/>
          <w:sz w:val="24"/>
          <w:szCs w:val="24"/>
        </w:rPr>
      </w:r>
    </w:p>
    <w:p>
      <w:pPr>
        <w:ind w:hanging="2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Цель дисциплины «СГЦ.04 Основы финансовой грамотности»: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освоение знаний о финансовой жизни со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55"/>
        <w:spacing w:before="0" w:beforeAutospacing="0" w:after="200" w:afterAutospacing="0"/>
        <w:rPr>
          <w:color w:val="000000"/>
        </w:rPr>
      </w:pPr>
      <w:r>
        <w:rPr>
          <w:color w:val="000000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Дисциплина «СГЦ.04 Основы финансовой грамотности» включена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социально-гуманитарного  цикла образовательной программы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54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2" w:firstLine="706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2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3764"/>
        <w:gridCol w:w="3895"/>
      </w:tblGrid>
      <w:tr>
        <w:tblPrEx/>
        <w:trPr>
          <w:trHeight w:val="649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задачу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выявлять и отбирать информацию, необходимую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составлять план действий;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реализовывать составленный план;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основные источники информации и ресурсы для решения задач в профессиональном 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алгоритмы выполнения работ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смежных областях;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этапы планирования для решения задач;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задачи для сбора информации;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планировать процесс поиска и осуществлять выбор необходимых источников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left="-2" w:firstLine="0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формат представления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результатов поиска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 возможности использования различных цифровых сре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дств пр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решении профессиональных задач, задач личностного развития и финансового благополучия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и выстраивать траектории профессионального и личностного развития;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учитывать инфляцию при решении финансовых задач в 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производить расчеты по валютно-обменным операциям;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-планировать личные доходы и расходы, принимать финансовые решения, составлять личный бюджет;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 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грамотно проводить презентацию идеи открытия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собственного дела в области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источники финансирования для реализации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производить основные финансовые расчеты в сферах предпринимательской деятельности и планирования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оценивать финансовые риски, связанные с осуществлением предпринимательской деятельности и планирования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возможные траектории профессионального развития и самообразования;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инфляции, ее влияние на решение финансовых задач в 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иностранной валюты и валютного курса;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-структуру личных доходов и расходов, правила составления личного и семейного бюджета;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особенности различных банковских</w:t>
            </w:r>
            <w:sdt>
              <w:sdtPr>
                <w:alias w:val=""/>
                <w15:appearance w15:val="boundingBox"/>
                <w:label w:val="0"/>
                <w:lock w:val="unlocked"/>
                <w:tag w:val="goog_rdk_0"/>
                <w:rPr>
                  <w:rFonts w:ascii="Times New Roman" w:hAnsi="Times New Roman" w:cs="Times New Roman"/>
                  <w:sz w:val="24"/>
                  <w:szCs w:val="24"/>
                </w:rPr>
              </w:sdtPr>
              <w:sdtContent>
                <w:r>
                  <w:rPr>
                    <w:rFonts w:ascii="Times New Roman" w:hAnsi="Times New Roman" w:eastAsia="Times New Roman" w:cs="Times New Roman"/>
                    <w:sz w:val="24"/>
                    <w:szCs w:val="24"/>
                  </w:rPr>
                  <w:t xml:space="preserve"> и страховых</w:t>
                </w:r>
              </w:sdtContent>
            </w:sdt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систему и полномочия государственных органов в сферах профессиональной деятельности,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предпринимательской деятельности и защиты прав потребителей;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работать в коллективе и команде;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взаимодействовать с коллегами, руководством, клиентами, в ходе профессиональной и предпринимательской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особенности работы в малых и больших группах, работы в команде, организации коллективной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принципы организации проектной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грамотно излагать свои мысли, формулировать собственное мнение, обосновывать свою позицию в учебных и практических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проявлять толерантность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принципы взаимодействия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правила оформления документов и построения устных сообщений на государственном языке РФ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764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профессии (специальности),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работу с соблюдением принципов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895" w:type="dxa"/>
            <w:textDirection w:val="lrTb"/>
            <w:noWrap w:val="false"/>
          </w:tcPr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экологической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hanging="2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hanging="2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hanging="2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hanging="2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hanging="2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hanging="2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338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/>
        </w:rPr>
      </w:r>
    </w:p>
    <w:tbl>
      <w:tblPr>
        <w:tblW w:w="0" w:type="auto"/>
        <w:tblCellSpacing w:w="0" w:type="dxa"/>
        <w:tblInd w:w="-115" w:type="dxa"/>
        <w:tblLook w:val="04A0" w:firstRow="1" w:lastRow="0" w:firstColumn="1" w:lastColumn="0" w:noHBand="0" w:noVBand="1"/>
      </w:tblPr>
      <w:tblGrid>
        <w:gridCol w:w="7054"/>
        <w:gridCol w:w="2517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5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17" w:type="dxa"/>
            <w:vAlign w:val="center"/>
            <w:textDirection w:val="lrTb"/>
            <w:noWrap w:val="false"/>
          </w:tcPr>
          <w:p>
            <w:pPr>
              <w:ind w:hanging="2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54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17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54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17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54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17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54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17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54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17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54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17" w:type="dxa"/>
            <w:vAlign w:val="center"/>
            <w:textDirection w:val="lrTb"/>
            <w:noWrap w:val="false"/>
          </w:tcPr>
          <w:p>
            <w:pPr>
              <w:ind w:hanging="2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_3387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/>
        </w:rPr>
      </w:r>
    </w:p>
    <w:tbl>
      <w:tblPr>
        <w:tblW w:w="0" w:type="auto"/>
        <w:tblCellSpacing w:w="0" w:type="dxa"/>
        <w:tblInd w:w="-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53"/>
        <w:gridCol w:w="8010"/>
        <w:gridCol w:w="1984"/>
        <w:gridCol w:w="2074"/>
      </w:tblGrid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textDirection w:val="lrTb"/>
            <w:noWrap w:val="false"/>
          </w:tcPr>
          <w:p>
            <w:pPr>
              <w:ind w:right="57"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right="57"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лабораторных и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textDirection w:val="lrTb"/>
            <w:noWrap w:val="false"/>
          </w:tcPr>
          <w:p>
            <w:pPr>
              <w:ind w:right="57"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63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Деньги и операции с ними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 Деньги и платежи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т(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учетом профильной направленности)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0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Влияние инфляции на финансовые возможности 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Издержки проведения платежей разного вида Роль и функции денег. Виды современных денег, их основные характеристики.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система. Покупательная способность денег. Инфляция. Основные риски, связанные с использованием денег. Возможности и ограничения использования иностранной валюты. Валютный курс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Признаки подлинности и платежности банкнот и монет (дизайн, применяемые технологии, используемые материалы)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разных платежных инструментов с учетом особенностей своей профессии/специальности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Покупки и цены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(с учетом профильной направленности)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товара с учетом скидок и рекламных акций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Влияние неценовых факторов на совершение покупки (состав, используемые материалы и технологии, ценности бренда и др.)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Безопасное использование денег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(с учетом профильной направленности)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 безопасного использования платежных инструментов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Признаки типичных ситуаций финансового мошенничества в различных сферах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63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Планирование и управление личными финансами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Личный и семейный бюджет, финансовое планирование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(с учетом профильной направленности)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личного бюджета и оценка его выполнения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Возможности для повышения дохода с учетом особенностей своей профессии/специальности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Личные 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(с учетом профильной направленности)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банка и оценка доходности банковского вклада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необходимости и требуемого объема сбережений с учетом особенностей своей профессии/специальности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Кредиты и займы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(с учетом профильной направленности)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банка и банковского кредита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размера допустимого кредита с учетом особенностей своей профессии/специальности (уровень дохода, профиль трат)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18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 Безопасное управление личными финансами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18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18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181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(с учетом профильной направленности)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Моделирование семейного бюджета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как дефицита, так и избытка доходов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Возможности и ограничения льготных программ банков с учетом особенностей своей профессии, иных факторов (вклады и кредиты для молодежи, программистов, семей с детьми)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63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3. Риск и доходность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3.1. Инвестирование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(с учетом профильной направленности)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Базовые принципы формирования инвестиционного портфеля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Расчет размера допустимого объема инвестиций в рамках личного бюджета с учетом особенностей своей профессии/специальности (уровень дохода, профиль трат)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3.2. Страхование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(с учетом профильной направленности)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Страхование как способ обеспечения безопасности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Специфика страхования в разных профессиях (профессиональные страховые продукты)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3.3. Предпринимательство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для открытия собственного бизнеса и алгоритм действий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Базовые финансовые показатели бизнеса: выручка, постоянные и переменные издержки, прибыль.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бизнес-идей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рисков, связанных с ними, с учетом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особенностей своей профессии/специальности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63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4. Финансовая среда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4.1. Финансовые взаимоотношения с государством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цифровые сервисы государства для граждан.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Налоги и пенсионное обеспечение для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самозанятых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ИП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Специфика налогообложения и пенсионного обеспечения в разных профессиях (профессиональные налоговые вычеты для творческих профессий, налоги и пенсии для нотариусов и адвокатов, военных)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53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4.2. Защита прав граждан в финансовой сфере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(с учетом профильной направленности)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010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Типичные  ситуация нарушения  прав граждан в финансовой сфере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Стратегии действия в проблемных ситуациях  с учетом особенностей своей профессии/специальности (характер возможного нарушения прав)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Зачёт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63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863" w:type="dxa"/>
            <w:vAlign w:val="center"/>
            <w:textDirection w:val="lrTb"/>
            <w:noWrap w:val="false"/>
          </w:tcPr>
          <w:p>
            <w:pPr>
              <w:ind w:hanging="2"/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ind w:hanging="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74" w:type="dxa"/>
            <w:vAlign w:val="center"/>
            <w:textDirection w:val="lrTb"/>
            <w:noWrap w:val="false"/>
          </w:tcPr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hanging="2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hanging="2"/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ectPr>
          <w:footnotePr/>
          <w:endnotePr/>
          <w:type w:val="nextPage"/>
          <w:pgSz w:w="16838" w:h="11906" w:orient="landscape"/>
          <w:pgMar w:top="850" w:right="1134" w:bottom="1701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_7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3387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/>
      <w:r/>
      <w:r>
        <w:rPr>
          <w:rFonts w:ascii="Times New Roman" w:hAnsi="Times New Roman"/>
        </w:rPr>
      </w:r>
    </w:p>
    <w:p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</w:t>
      </w:r>
      <w:r>
        <w:rPr>
          <w:rFonts w:ascii="Times New Roman" w:hAnsi="Times New Roman" w:cs="Times New Roman"/>
          <w:sz w:val="24"/>
          <w:szCs w:val="24"/>
        </w:rPr>
        <w:t xml:space="preserve">социально-гуманитарных дисциплин, </w:t>
      </w:r>
      <w:r>
        <w:rPr>
          <w:rStyle w:val="1_4450"/>
          <w:rFonts w:ascii="Times New Roman" w:hAnsi="Times New Roman" w:cs="Times New Roman"/>
          <w:color w:val="000000"/>
          <w:sz w:val="24"/>
          <w:szCs w:val="24"/>
        </w:rPr>
        <w:t xml:space="preserve">оснащённый в соответствии с приложением 3 ОПОП-П</w:t>
      </w:r>
      <w:r>
        <w:rPr>
          <w:rStyle w:val="1_4450"/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Style w:val="1_4450"/>
          <w:rFonts w:ascii="Times New Roman" w:hAnsi="Times New Roman" w:cs="Times New Roman"/>
          <w:color w:val="000000"/>
          <w:sz w:val="24"/>
          <w:szCs w:val="24"/>
        </w:rPr>
      </w:r>
      <w:r>
        <w:rPr>
          <w:rStyle w:val="1_4450"/>
          <w:rFonts w:ascii="Times New Roman" w:hAnsi="Times New Roman" w:cs="Times New Roman"/>
          <w:color w:val="000000"/>
          <w:sz w:val="24"/>
          <w:szCs w:val="24"/>
        </w:rPr>
      </w:r>
      <w:r/>
      <w:r/>
      <w:r>
        <w:rPr>
          <w:rStyle w:val="1_4450"/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55"/>
        <w:ind w:firstLine="709"/>
        <w:jc w:val="both"/>
        <w:spacing w:before="0" w:beforeAutospacing="0" w:after="0" w:afterAutospacing="0" w:line="273" w:lineRule="auto"/>
      </w:pPr>
      <w:r>
        <w:t xml:space="preserve"> 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t xml:space="preserve"> </w:t>
      </w:r>
      <w:r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 Основные печатные и/или электронные издания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1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Жданова А.О., Савицкая Е.В. Финансовая грамотность: материалы для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обучающихся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Среднее профессиональное образование. – М.: ВАКО, 2020. – 400 с.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1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Финансовая грамотность: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Елисеева. </w:t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– 4-е изд. стер. М.:  Издательский центр «Академия», 2022. –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288 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1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Финансовая грамотность. Методические рекомендации 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Издательский центр «Академия», 2020. –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 96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1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Финансовая грамотность. Практикум : учеб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Елисеева. – 2-е изд. стер. – 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Издательский центр «Академия», 2022. – </w:t>
      </w:r>
      <w:r>
        <w:rPr>
          <w:rFonts w:ascii="Times New Roman" w:hAnsi="Times New Roman" w:eastAsia="Times New Roman" w:cs="Times New Roman"/>
          <w:sz w:val="24"/>
          <w:szCs w:val="24"/>
          <w:shd w:val="clear" w:color="auto" w:fill="ffffff"/>
          <w:lang w:eastAsia="ru-RU"/>
        </w:rPr>
        <w:t xml:space="preserve">128 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1"/>
        </w:numPr>
        <w:ind w:left="0" w:hanging="2"/>
        <w:jc w:val="both"/>
        <w:spacing w:after="0" w:line="240" w:lineRule="auto"/>
        <w:tabs>
          <w:tab w:val="left" w:pos="284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Флицлер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А.В. Основы финансовой грамотности: учебное пособие для среднего профессионального образования / А.В.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Флицлер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Е.А. Тарханова. – Москва: Издательство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2022. </w:t>
      </w:r>
      <w:bookmarkStart w:id="0" w:name="undefined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– 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154 с.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b/>
          <w:bCs/>
          <w:iCs/>
          <w:sz w:val="24"/>
          <w:szCs w:val="24"/>
        </w:rPr>
      </w:pPr>
      <w:r>
        <w:rPr>
          <w:rStyle w:val="1_4930"/>
          <w:b/>
          <w:bCs/>
          <w:iCs/>
          <w:sz w:val="24"/>
          <w:szCs w:val="24"/>
        </w:rPr>
        <w:t xml:space="preserve">3.2.2. Дополнительные источники</w:t>
      </w:r>
      <w:r>
        <w:rPr>
          <w:rStyle w:val="1_4930"/>
          <w:b/>
          <w:bCs/>
          <w:iCs/>
          <w:sz w:val="24"/>
          <w:szCs w:val="24"/>
        </w:rPr>
      </w:r>
      <w:r>
        <w:rPr>
          <w:rStyle w:val="1_4930"/>
          <w:b/>
          <w:bCs/>
          <w:iCs/>
          <w:sz w:val="24"/>
          <w:szCs w:val="24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Купцова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Е.В. Бизнес-планирование: учебник и практикум для среднего профессионального образования/ Е. В.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Купцова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А. А. Степанов. — Москва: Издательство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2021.— 435 с. — (Профессиональное образование). — ISBN 978-5-534-11053-1. — Текст: электронный // ЭБС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[сайт]. — URL: </w:t>
      </w:r>
      <w:hyperlink r:id="rId9" w:tooltip="https://urait.ru/bcode/476085" w:history="1">
        <w:r>
          <w:rPr>
            <w:rStyle w:val="832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https://urait.ru/bcode/476085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М.Р. Электронный учебно-методический комплекс «Финансовая грамотность»: / М.Р.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Каджаева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Л.В. Дубровская, А.Р. Елисеева, Е.Г. Метревели. – М.: Издательский центр «Академия», 2019.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Министерство финансов РФ [Электронный ресурс] – Режим доступа: </w:t>
      </w:r>
      <w:hyperlink r:id="rId10" w:tooltip="https://minfin.gov.ru/" w:history="1">
        <w:r>
          <w:rPr>
            <w:rStyle w:val="832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https://minfin.gov.ru/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Образовательные проекты ПАКК [Электронный ресурс] – Режим доступа: </w:t>
      </w:r>
      <w:hyperlink r:id="rId11" w:tooltip="http://www.edu.pacc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www.edu.pacc.ru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Пенсионный фонд РФ [Электронный ресурс] – Режим доступа: </w:t>
      </w:r>
      <w:hyperlink r:id="rId12" w:tooltip="http://www.pfr.gov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www.pfr.gov.ru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Персональный навигатор по финансам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Моифинансы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[Электронный ресурс] – Режим доступа: https: </w:t>
      </w:r>
      <w:hyperlink r:id="rId13" w:tooltip="https://моифинансы.рф/" w:history="1">
        <w:r>
          <w:rPr>
            <w:rStyle w:val="832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https://моифинансы.рф/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Роспотребнадзор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[Электронный ресурс] – Режим доступа: </w:t>
      </w:r>
      <w:hyperlink r:id="rId14" w:tooltip="http://www.rospotrebnadzor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www.rospotrebnadzor.ru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5" w:tooltip="http://www.fmc.hse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www.fmc.hse.ru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Центральный банк Российской Федерации [Электронный ресурс] – Режим доступа: </w:t>
      </w:r>
      <w:hyperlink r:id="rId16" w:tooltip="http://www.cbr.ru/" w:history="1">
        <w:bookmarkStart w:id="0" w:name="undefined"/>
        <w:r>
          <w:rPr>
            <w:rStyle w:val="832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http://</w:t>
        </w:r>
        <w:bookmarkEnd w:id="0"/>
        <w:r>
          <w:rPr>
            <w:rStyle w:val="832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www.cbr.ru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Федеральная налоговая служба [Электронный ресурс] – Режим доступа: </w:t>
      </w:r>
      <w:hyperlink r:id="rId17" w:tooltip="http://www.nalog.ru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www.nalog.ru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Федеральный методический центр по финансовой грамотности населения [Электронный ресурс] – Режим доступа: </w:t>
      </w:r>
      <w:hyperlink r:id="rId18" w:tooltip="http://iurr.ranepa.ru/centry/finlit/" w:history="1">
        <w:r>
          <w:rPr>
            <w:rFonts w:ascii="Times New Roman" w:hAnsi="Times New Roman" w:eastAsia="Times New Roman" w:cs="Times New Roman"/>
            <w:sz w:val="24"/>
            <w:szCs w:val="24"/>
            <w:u w:val="single"/>
            <w:lang w:eastAsia="ru-RU"/>
          </w:rPr>
          <w:t xml:space="preserve">http://iurr.ranepa.ru/centry/finlit/</w:t>
        </w:r>
      </w:hyperlink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Финансовая культура [Электронный ресурс] – Режим доступа: </w:t>
      </w:r>
      <w:hyperlink r:id="rId19" w:tooltip="https://fincult.info/" w:history="1">
        <w:r>
          <w:rPr>
            <w:rStyle w:val="832"/>
            <w:rFonts w:ascii="Times New Roman" w:hAnsi="Times New Roman" w:cs="Times New Roman"/>
            <w:sz w:val="24"/>
            <w:szCs w:val="24"/>
          </w:rPr>
          <w:t xml:space="preserve">https://fincult.info/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1"/>
        <w:numPr>
          <w:ilvl w:val="0"/>
          <w:numId w:val="12"/>
        </w:numPr>
        <w:ind w:left="0" w:hanging="2"/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Электронный учебник по финансовой грамотности. [Электронный ресурс] – Режим доступа: </w:t>
      </w:r>
      <w:hyperlink r:id="rId20" w:tooltip="https://школа.вашифинансы.рф/" w:history="1">
        <w:r>
          <w:rPr>
            <w:rStyle w:val="832"/>
            <w:rFonts w:ascii="Times New Roman" w:hAnsi="Times New Roman" w:cs="Times New Roman"/>
            <w:sz w:val="24"/>
            <w:szCs w:val="24"/>
          </w:rPr>
          <w:t xml:space="preserve">https://школа.вашифинансы.рф/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Нормативно-правовая база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1.</w:t>
      </w:r>
      <w:r>
        <w:rPr>
          <w:rStyle w:val="1_4932"/>
          <w:rFonts w:eastAsia="Calibri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2.</w:t>
      </w:r>
      <w:r>
        <w:rPr>
          <w:rStyle w:val="1_4932"/>
          <w:rFonts w:eastAsia="Calibri"/>
          <w:sz w:val="24"/>
          <w:szCs w:val="24"/>
        </w:rPr>
        <w:tab/>
        <w:t xml:space="preserve">Федеральный закон от 2 декабря 1990 г. № 395-1 «О банках и банковской деятельности».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3.</w:t>
      </w:r>
      <w:r>
        <w:rPr>
          <w:rStyle w:val="1_4932"/>
          <w:rFonts w:eastAsia="Calibri"/>
          <w:sz w:val="24"/>
          <w:szCs w:val="24"/>
        </w:rPr>
        <w:tab/>
        <w:t xml:space="preserve">Федеральный закон от 22 апреля 1996 г. № 39-ФЗ «О рынке ценных бумаг».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4.</w:t>
      </w:r>
      <w:r>
        <w:rPr>
          <w:rStyle w:val="1_4932"/>
          <w:rFonts w:eastAsia="Calibri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5.</w:t>
      </w:r>
      <w:r>
        <w:rPr>
          <w:rStyle w:val="1_4932"/>
          <w:rFonts w:eastAsia="Calibri"/>
          <w:sz w:val="24"/>
          <w:szCs w:val="24"/>
        </w:rPr>
        <w:tab/>
        <w:t xml:space="preserve"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6.</w:t>
      </w:r>
      <w:r>
        <w:rPr>
          <w:rStyle w:val="1_4932"/>
          <w:rFonts w:eastAsia="Calibri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7.</w:t>
      </w:r>
      <w:r>
        <w:rPr>
          <w:rStyle w:val="1_4932"/>
          <w:rFonts w:eastAsia="Calibri"/>
          <w:sz w:val="24"/>
          <w:szCs w:val="24"/>
        </w:rPr>
        <w:tab/>
        <w:t xml:space="preserve">Федеральный закон от 10 декабря 2003 г. № 173-ФЗ «О валютном регулировании и валютном контроле».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8.</w:t>
      </w:r>
      <w:r>
        <w:rPr>
          <w:rStyle w:val="1_4932"/>
          <w:rFonts w:eastAsia="Calibri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9.</w:t>
      </w:r>
      <w:r>
        <w:rPr>
          <w:rStyle w:val="1_4932"/>
          <w:rFonts w:eastAsia="Calibri"/>
          <w:sz w:val="24"/>
          <w:szCs w:val="24"/>
        </w:rPr>
        <w:tab/>
        <w:t xml:space="preserve">Федеральный закон от 30 декабря 2004 г. № 218-ФЗ «О кредитных историях».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10.</w:t>
      </w:r>
      <w:r>
        <w:rPr>
          <w:rStyle w:val="1_4932"/>
          <w:rFonts w:eastAsia="Calibri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11.</w:t>
      </w:r>
      <w:r>
        <w:rPr>
          <w:rStyle w:val="1_4932"/>
          <w:rFonts w:eastAsia="Calibri"/>
          <w:sz w:val="24"/>
          <w:szCs w:val="24"/>
        </w:rPr>
        <w:tab/>
        <w:t xml:space="preserve">Федеральный закон от 28 декабря 2013 г. № 400-ФЗ «О страховых пенсиях».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12.</w:t>
      </w:r>
      <w:r>
        <w:rPr>
          <w:rStyle w:val="1_4932"/>
          <w:rFonts w:eastAsia="Calibri"/>
          <w:sz w:val="24"/>
          <w:szCs w:val="24"/>
        </w:rPr>
        <w:tab/>
        <w:t xml:space="preserve">Гражданский кодекс Российской Федерации. Ч. 2. Налоговый кодекс Российской Федерации. Ч. 2.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13.</w:t>
      </w:r>
      <w:r>
        <w:rPr>
          <w:rStyle w:val="1_4932"/>
          <w:rFonts w:eastAsia="Calibri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Style w:val="1_4932"/>
          <w:rFonts w:eastAsia="Calibri"/>
          <w:sz w:val="24"/>
          <w:szCs w:val="24"/>
        </w:rPr>
        <w:t xml:space="preserve">14.</w:t>
      </w:r>
      <w:r>
        <w:rPr>
          <w:rStyle w:val="1_4932"/>
          <w:rFonts w:eastAsia="Calibri"/>
          <w:sz w:val="24"/>
          <w:szCs w:val="24"/>
        </w:rPr>
        <w:tab/>
        <w:t xml:space="preserve">Положение Банка России от 29 июня 2021 г. № 762-П «О правилах осуществления перевода денежных средств».</w:t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ind w:hanging="2"/>
        <w:jc w:val="both"/>
        <w:spacing w:after="0"/>
        <w:rPr>
          <w:rFonts w:eastAsia="Calibri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  <w:r>
        <w:rPr>
          <w:rStyle w:val="1_4932"/>
          <w:rFonts w:eastAsia="Calibri"/>
          <w:sz w:val="24"/>
          <w:szCs w:val="24"/>
        </w:rPr>
      </w:r>
    </w:p>
    <w:p>
      <w:pPr>
        <w:jc w:val="both"/>
        <w:spacing w:after="0" w:line="240" w:lineRule="auto"/>
        <w:tabs>
          <w:tab w:val="left" w:pos="284" w:leader="none"/>
          <w:tab w:val="left" w:pos="426" w:leader="none"/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5"/>
        <w:ind w:firstLine="709"/>
        <w:jc w:val="both"/>
        <w:spacing w:before="0" w:beforeAutospacing="0" w:after="0" w:afterAutospacing="0" w:line="273" w:lineRule="auto"/>
      </w:pPr>
      <w:r/>
      <w:r/>
      <w:r/>
    </w:p>
    <w:p>
      <w:pPr>
        <w:pStyle w:val="855"/>
        <w:ind w:firstLine="709"/>
        <w:jc w:val="both"/>
        <w:spacing w:before="0" w:beforeAutospacing="0" w:after="200" w:afterAutospacing="0" w:line="273" w:lineRule="auto"/>
      </w:pPr>
      <w:r>
        <w:rPr>
          <w:highlight w:val="none"/>
        </w:rPr>
      </w:r>
      <w:r>
        <w:rPr>
          <w:highlight w:val="none"/>
        </w:rPr>
      </w:r>
    </w:p>
    <w:p>
      <w:pPr>
        <w:pStyle w:val="855"/>
        <w:ind w:firstLine="709"/>
        <w:jc w:val="both"/>
        <w:spacing w:before="0" w:beforeAutospacing="0" w:after="200" w:afterAutospacing="0" w:line="273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55"/>
        <w:ind w:firstLine="709"/>
        <w:jc w:val="both"/>
        <w:spacing w:before="0" w:beforeAutospacing="0" w:after="200" w:afterAutospacing="0" w:line="273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55"/>
        <w:ind w:firstLine="709"/>
        <w:jc w:val="both"/>
        <w:spacing w:before="0" w:beforeAutospacing="0" w:after="200" w:afterAutospacing="0" w:line="273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55"/>
        <w:ind w:firstLine="709"/>
        <w:jc w:val="both"/>
        <w:spacing w:before="0" w:beforeAutospacing="0" w:after="200" w:afterAutospacing="0" w:line="273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55"/>
        <w:ind w:firstLine="709"/>
        <w:jc w:val="both"/>
        <w:spacing w:before="0" w:beforeAutospacing="0" w:after="200" w:afterAutospacing="0" w:line="273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55"/>
        <w:ind w:firstLine="709"/>
        <w:jc w:val="both"/>
        <w:spacing w:before="0" w:beforeAutospacing="0" w:after="200" w:afterAutospacing="0" w:line="273" w:lineRule="auto"/>
        <w:rPr>
          <w:highlight w:val="none"/>
        </w:rPr>
      </w:pPr>
      <w:r>
        <w:t xml:space="preserve"> </w:t>
      </w:r>
      <w:r/>
    </w:p>
    <w:p>
      <w:pPr>
        <w:pStyle w:val="855"/>
        <w:ind w:firstLine="709"/>
        <w:jc w:val="both"/>
        <w:spacing w:before="0" w:beforeAutospacing="0" w:after="200" w:afterAutospacing="0" w:line="273" w:lineRule="auto"/>
      </w:pPr>
      <w:r/>
      <w:r/>
    </w:p>
    <w:p>
      <w:pPr>
        <w:pStyle w:val="855"/>
        <w:ind w:firstLine="709"/>
        <w:jc w:val="both"/>
        <w:spacing w:before="0" w:beforeAutospacing="0" w:after="200" w:afterAutospacing="0" w:line="273" w:lineRule="auto"/>
      </w:pPr>
      <w:r/>
      <w:bookmarkStart w:id="4" w:name="_GoBack"/>
      <w:r/>
      <w:bookmarkEnd w:id="4"/>
      <w:r/>
      <w:r/>
    </w:p>
    <w:p>
      <w:pPr>
        <w:pStyle w:val="1_798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  <w:r/>
      <w:r/>
      <w:r>
        <w:rPr>
          <w:rFonts w:ascii="Times New Roman" w:hAnsi="Times New Roman"/>
          <w:b w:val="0"/>
          <w:bCs w:val="0"/>
        </w:rPr>
      </w:r>
    </w:p>
    <w:p>
      <w:pPr>
        <w:pStyle w:val="855"/>
        <w:jc w:val="center"/>
        <w:spacing w:before="0" w:beforeAutospacing="0" w:after="0" w:afterAutospacing="0"/>
      </w:pPr>
      <w:r>
        <w:t xml:space="preserve"> </w:t>
      </w:r>
      <w:r/>
    </w:p>
    <w:tbl>
      <w:tblPr>
        <w:tblW w:w="9616" w:type="dxa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946"/>
        <w:gridCol w:w="3543"/>
        <w:gridCol w:w="2127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актуальный профессиональный и социальный контекст, в котором работаешь и живешь;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основные источники информации и ресурсы для решения задач в профессиональном 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алгоритмы выполнения работ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смежных областях;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 информационные источники, используемые в профессиональной деятельности; для решения задач личностного развития и финансового благополучия;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формат представления результатов поиска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возможности использования различных цифровых сре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дств пр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 решении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актуальную нормативно-правовую базу, регламентирующую профессиональную деятельность, предпринимательство и личное финансовое планирование;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возможные траектории профессионального развития и самообразования;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инфляции, ее влияние на решение финансовых задач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понятие иностранной валюты и валютного курса;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-структуру личных доходов и расходов, правила составления личного и семейного бюджета;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особенности различных банковских продуктов и возможности их использования в профессиональной, предпринимательской деятельности и для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особенности работы в малых и больших группах, работы в команде, организации коллективной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принципы организации проектной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принципы взаимодействия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правила оформления документов и построения устных сообщений на государственном языке РФ;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экологической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принципы бережливого производства.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знания особенностей профессионального и социального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ориентируется в источниках информации и ресурсах для решения задач в профессиональном 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 сформулировать алгоритм выполнения работ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смежных областях;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знания о том, как представлять результаты поиска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ориентируется в нормативно-правовой базе, регламентирующей профессиональную деятельность, предпринимательство и личное финансовое планирование;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определить возможные траектории профессионального развития и самообразования;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определить наиболее подходящие способы оплаты товаров и услуг в конкретных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понимание влияния инфляции на решение финансовых задач в профессии, личном планировании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понимание валютных курсов и порядка проведения расчетов по обмену одной валюты на другую;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демонстрирует понимание правил составления личного и семейного бюджета;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назвать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знания о государственных органах и их полномочиях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предпринимательской сферах, а также в сфере защиты прав потребителей;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представление 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принципах организации проектной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представление о принципах взаимодействия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знание правил оформления документов и построения устных сообщений на государственном языке РФ;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знание правил экологической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знание принципов бережливого производства.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задачу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-выявлять и отбирать информацию, необходимую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составлять план действий;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-определять необходимые ресурсы;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реализовывать составленный план;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задачи для сбора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планировать процесс поиска информации и осуществлять выбор необходимых источников;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использовать различные цифровые средства при решении профессиональных задач, задач личностного развития и 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определять актуальность нормативно-правовой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документации в профессиональной деятельности, для ведения предпринимательской деятельности и личного финансового планирования;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и выстраивать траектории профессионального и личностного развития;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8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учитывать инфляцию при решении финансовых задач в 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производить расчеты по валютно-обменным операциям;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-планировать личные доходы и расходы, принимать финансовые решения, составлять личный бюджет;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использовать разнообразие финансовых инструментов для управления личными финансами в целях   достижения финансового благополучия с учетом финансовой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грамотно проводить презентацию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открытия собственного дела в области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источники финансирования для реализации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производить основные финансовые расчеты при планировании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оценивать финансовые риски, связанные с осуществлением предпринимательской деятельности и планирования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работать в коллективе и команде;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взаимодействовать с коллегами, руководством, клиентами, в ходе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профессиональной и предпринимательской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грамотно излагать свои мысли, формулировать собственное мнение, обосновывать свою позицию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учебных и практических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проявлять толерантность в коллективе;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соблюдать нормы экологической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определять направления ресурсосбережения в рамках профессиональной деятельности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работу с соблюдением принципов бережливого производства.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определяет задачу в профессиональном и/или социальном контексте;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осуществляет поиск и отбор информации, необходимой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осуществляет планирование действий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определяет ресурсы для решения задачи;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выполняет составленный план;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оценивает полученный результат;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определяет задачи для сбора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планирует процесс поиска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осуществлять  выбор необходимых источников;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умение пользоваться цифровыми средствами при решении профессиональных задач, задач личностного развития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финансового благополучия;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планирования;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планирует траектории профессионального и личностного развития;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учитывает инфляцию при решении финансовых задач в профессии, личном планировании;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производит расчеты по валютно-обменным операциям;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планирует личные доходы и расходы, принимать финансовые решения, составляет личный бюджет;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выполняет практические задания, основанные на использовании разнообразных финансовых инструментов для управления личными финансами в целях   достижения финансового благополучия с учетом финансовой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анализирует бизнес-идею;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проводит презентацию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бизнес-идеи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открытия собственного дела в области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предлагает возможные источники финансирования для реализации бизне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идеи;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проводит финансовые расчет, включая анализ расходов, необходимых для достижения цели, выполняет практические задания, основанные на ситуациях, связанных с различными финансовыми расчетами;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проводит оценку возможных финансовых рисков, связанных с осуществлением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предпринимательской деятельности и планирования личных финансов;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осуществляет коммуникации в соответствии с полученными знаниями и практическим опытом;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взаимодействует с коллегами, руководством, клиентами в модельных ситуациях профессиональной и предпринимательской деятельности с опорой на знания правил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грамотно излагает собственную точку зрения с приведением аргументов;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толерантное поведение;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выполняет практические задания по заполнению документов на государственном языке РФ в соответствии с примерами;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соблюдение норм экологической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демонстрирует понимание важности ресурсосбережения и определяет направления его применения.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855"/>
        <w:spacing w:before="0" w:beforeAutospacing="0" w:after="200" w:afterAutospacing="0" w:line="273" w:lineRule="auto"/>
      </w:pPr>
      <w:r>
        <w:t xml:space="preserve"> 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Tahoma">
    <w:panose1 w:val="020B0506030602030204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">
    <w:abstractNumId w:val="5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">
    <w:abstractNumId w:val="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">
    <w:abstractNumId w:val="4"/>
  </w:num>
  <w:num w:numId="6">
    <w:abstractNumId w:val="1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0"/>
    <w:link w:val="671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0"/>
    <w:link w:val="672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0"/>
    <w:link w:val="673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0"/>
    <w:link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0"/>
    <w:link w:val="675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0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0"/>
    <w:link w:val="692"/>
    <w:uiPriority w:val="10"/>
    <w:rPr>
      <w:sz w:val="48"/>
      <w:szCs w:val="48"/>
    </w:rPr>
  </w:style>
  <w:style w:type="character" w:styleId="37">
    <w:name w:val="Subtitle Char"/>
    <w:basedOn w:val="680"/>
    <w:link w:val="694"/>
    <w:uiPriority w:val="11"/>
    <w:rPr>
      <w:sz w:val="24"/>
      <w:szCs w:val="24"/>
    </w:rPr>
  </w:style>
  <w:style w:type="character" w:styleId="39">
    <w:name w:val="Quote Char"/>
    <w:link w:val="696"/>
    <w:uiPriority w:val="29"/>
    <w:rPr>
      <w:i/>
    </w:rPr>
  </w:style>
  <w:style w:type="character" w:styleId="41">
    <w:name w:val="Intense Quote Char"/>
    <w:link w:val="698"/>
    <w:uiPriority w:val="30"/>
    <w:rPr>
      <w:i/>
    </w:rPr>
  </w:style>
  <w:style w:type="character" w:styleId="43">
    <w:name w:val="Header Char"/>
    <w:basedOn w:val="680"/>
    <w:link w:val="700"/>
    <w:uiPriority w:val="99"/>
  </w:style>
  <w:style w:type="character" w:styleId="47">
    <w:name w:val="Caption Char"/>
    <w:basedOn w:val="704"/>
    <w:link w:val="702"/>
    <w:uiPriority w:val="99"/>
  </w:style>
  <w:style w:type="character" w:styleId="176">
    <w:name w:val="Footnote Text Char"/>
    <w:link w:val="833"/>
    <w:uiPriority w:val="99"/>
    <w:rPr>
      <w:sz w:val="18"/>
    </w:rPr>
  </w:style>
  <w:style w:type="character" w:styleId="179">
    <w:name w:val="Endnote Text Char"/>
    <w:link w:val="836"/>
    <w:uiPriority w:val="99"/>
    <w:rPr>
      <w:sz w:val="20"/>
    </w:rPr>
  </w:style>
  <w:style w:type="paragraph" w:styleId="670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671">
    <w:name w:val="Heading 1"/>
    <w:basedOn w:val="670"/>
    <w:next w:val="670"/>
    <w:link w:val="683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672">
    <w:name w:val="Heading 2"/>
    <w:basedOn w:val="671"/>
    <w:next w:val="670"/>
    <w:link w:val="684"/>
    <w:uiPriority w:val="9"/>
    <w:unhideWhenUsed/>
    <w:qFormat/>
    <w:pPr>
      <w:outlineLvl w:val="1"/>
    </w:pPr>
  </w:style>
  <w:style w:type="paragraph" w:styleId="673">
    <w:name w:val="Heading 3"/>
    <w:basedOn w:val="670"/>
    <w:next w:val="670"/>
    <w:link w:val="685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674">
    <w:name w:val="Heading 4"/>
    <w:basedOn w:val="670"/>
    <w:next w:val="670"/>
    <w:link w:val="686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675">
    <w:name w:val="Heading 5"/>
    <w:basedOn w:val="670"/>
    <w:next w:val="670"/>
    <w:link w:val="687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676">
    <w:name w:val="Heading 6"/>
    <w:basedOn w:val="670"/>
    <w:next w:val="670"/>
    <w:link w:val="688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677">
    <w:name w:val="Heading 7"/>
    <w:basedOn w:val="670"/>
    <w:next w:val="670"/>
    <w:link w:val="689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678">
    <w:name w:val="Heading 8"/>
    <w:basedOn w:val="670"/>
    <w:next w:val="670"/>
    <w:link w:val="690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679">
    <w:name w:val="Heading 9"/>
    <w:basedOn w:val="670"/>
    <w:next w:val="670"/>
    <w:link w:val="691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character" w:styleId="683" w:customStyle="1">
    <w:name w:val="Заголовок 1 Знак"/>
    <w:link w:val="671"/>
    <w:uiPriority w:val="9"/>
    <w:rPr>
      <w:rFonts w:ascii="Liberation Sans" w:hAnsi="Liberation Sans" w:eastAsia="Liberation Sans" w:cs="Liberation Sans"/>
    </w:rPr>
  </w:style>
  <w:style w:type="character" w:styleId="684" w:customStyle="1">
    <w:name w:val="Заголовок 2 Знак"/>
    <w:link w:val="672"/>
    <w:uiPriority w:val="9"/>
    <w:rPr>
      <w:rFonts w:ascii="Liberation Sans" w:hAnsi="Liberation Sans" w:eastAsia="Liberation Sans" w:cs="Liberation Sans"/>
      <w:sz w:val="34"/>
    </w:rPr>
  </w:style>
  <w:style w:type="character" w:styleId="685" w:customStyle="1">
    <w:name w:val="Заголовок 3 Знак"/>
    <w:link w:val="673"/>
    <w:uiPriority w:val="9"/>
    <w:rPr>
      <w:rFonts w:ascii="Liberation Sans" w:hAnsi="Liberation Sans" w:cs="Liberation Sans"/>
    </w:rPr>
  </w:style>
  <w:style w:type="character" w:styleId="686" w:customStyle="1">
    <w:name w:val="Заголовок 4 Знак"/>
    <w:link w:val="674"/>
    <w:uiPriority w:val="9"/>
    <w:rPr>
      <w:rFonts w:ascii="Liberation Sans" w:hAnsi="Liberation Sans" w:eastAsia="Liberation Sans" w:cs="Liberation Sans"/>
    </w:rPr>
  </w:style>
  <w:style w:type="character" w:styleId="687" w:customStyle="1">
    <w:name w:val="Заголовок 5 Знак"/>
    <w:link w:val="675"/>
    <w:uiPriority w:val="9"/>
    <w:rPr>
      <w:rFonts w:ascii="Liberation Sans" w:hAnsi="Liberation Sans" w:eastAsia="Liberation Sans" w:cs="Liberation Sans"/>
    </w:rPr>
  </w:style>
  <w:style w:type="character" w:styleId="688" w:customStyle="1">
    <w:name w:val="Заголовок 6 Знак"/>
    <w:link w:val="676"/>
    <w:uiPriority w:val="9"/>
    <w:rPr>
      <w:rFonts w:ascii="Liberation Sans" w:hAnsi="Liberation Sans" w:eastAsia="Liberation Sans" w:cs="Liberation Sans"/>
    </w:rPr>
  </w:style>
  <w:style w:type="character" w:styleId="689" w:customStyle="1">
    <w:name w:val="Заголовок 7 Знак"/>
    <w:link w:val="677"/>
    <w:uiPriority w:val="9"/>
    <w:rPr>
      <w:rFonts w:ascii="Liberation Sans" w:hAnsi="Liberation Sans" w:eastAsia="Liberation Sans" w:cs="Liberation Sans"/>
    </w:rPr>
  </w:style>
  <w:style w:type="character" w:styleId="690" w:customStyle="1">
    <w:name w:val="Заголовок 8 Знак"/>
    <w:link w:val="678"/>
    <w:uiPriority w:val="9"/>
    <w:rPr>
      <w:rFonts w:ascii="Liberation Sans" w:hAnsi="Liberation Sans" w:eastAsia="Liberation Sans" w:cs="Liberation Sans"/>
    </w:rPr>
  </w:style>
  <w:style w:type="character" w:styleId="691" w:customStyle="1">
    <w:name w:val="Заголовок 9 Знак"/>
    <w:link w:val="679"/>
    <w:uiPriority w:val="9"/>
    <w:rPr>
      <w:rFonts w:ascii="Liberation Sans" w:hAnsi="Liberation Sans" w:eastAsia="Liberation Sans" w:cs="Liberation Sans"/>
    </w:rPr>
  </w:style>
  <w:style w:type="paragraph" w:styleId="692">
    <w:name w:val="Title"/>
    <w:basedOn w:val="670"/>
    <w:next w:val="670"/>
    <w:link w:val="693"/>
    <w:uiPriority w:val="10"/>
    <w:qFormat/>
    <w:pPr>
      <w:contextualSpacing/>
      <w:spacing w:before="300"/>
    </w:pPr>
    <w:rPr>
      <w:sz w:val="48"/>
      <w:szCs w:val="48"/>
    </w:rPr>
  </w:style>
  <w:style w:type="character" w:styleId="693" w:customStyle="1">
    <w:name w:val="Название Знак"/>
    <w:link w:val="692"/>
    <w:uiPriority w:val="10"/>
    <w:rPr>
      <w:sz w:val="48"/>
      <w:szCs w:val="48"/>
    </w:rPr>
  </w:style>
  <w:style w:type="paragraph" w:styleId="694">
    <w:name w:val="Subtitle"/>
    <w:basedOn w:val="670"/>
    <w:next w:val="670"/>
    <w:link w:val="695"/>
    <w:uiPriority w:val="11"/>
    <w:qFormat/>
    <w:pPr>
      <w:spacing w:before="200"/>
    </w:pPr>
    <w:rPr>
      <w:sz w:val="24"/>
      <w:szCs w:val="24"/>
    </w:rPr>
  </w:style>
  <w:style w:type="character" w:styleId="695" w:customStyle="1">
    <w:name w:val="Подзаголовок Знак"/>
    <w:link w:val="694"/>
    <w:uiPriority w:val="11"/>
    <w:rPr>
      <w:sz w:val="24"/>
      <w:szCs w:val="24"/>
    </w:rPr>
  </w:style>
  <w:style w:type="paragraph" w:styleId="696">
    <w:name w:val="Quote"/>
    <w:basedOn w:val="670"/>
    <w:next w:val="670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70"/>
    <w:next w:val="670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paragraph" w:styleId="700">
    <w:name w:val="Header"/>
    <w:basedOn w:val="670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 w:customStyle="1">
    <w:name w:val="Верхний колонтитул Знак"/>
    <w:link w:val="700"/>
    <w:uiPriority w:val="99"/>
  </w:style>
  <w:style w:type="paragraph" w:styleId="702">
    <w:name w:val="Footer"/>
    <w:basedOn w:val="670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 w:customStyle="1">
    <w:name w:val="Footer Char"/>
    <w:uiPriority w:val="99"/>
  </w:style>
  <w:style w:type="paragraph" w:styleId="704">
    <w:name w:val="Caption"/>
    <w:basedOn w:val="670"/>
    <w:next w:val="67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5" w:customStyle="1">
    <w:name w:val="Нижний колонтитул Знак"/>
    <w:link w:val="702"/>
    <w:uiPriority w:val="99"/>
  </w:style>
  <w:style w:type="table" w:styleId="706">
    <w:name w:val="Table Grid"/>
    <w:basedOn w:val="68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 w:customStyle="1">
    <w:name w:val="Table Grid Light"/>
    <w:basedOn w:val="68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 w:customStyle="1">
    <w:name w:val="Plain Table 1"/>
    <w:basedOn w:val="681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 w:customStyle="1">
    <w:name w:val="Plain Table 2"/>
    <w:basedOn w:val="6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 w:customStyle="1">
    <w:name w:val="Plain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 w:customStyle="1">
    <w:name w:val="Plain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Plain Table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6" w:customStyle="1">
    <w:name w:val="Grid Table 4 - Accent 2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7" w:customStyle="1">
    <w:name w:val="Grid Table 4 - Accent 3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8" w:customStyle="1">
    <w:name w:val="Grid Table 4 - Accent 4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9" w:customStyle="1">
    <w:name w:val="Grid Table 4 - Accent 5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0" w:customStyle="1">
    <w:name w:val="Grid Table 4 - Accent 6"/>
    <w:basedOn w:val="6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1" w:customStyle="1">
    <w:name w:val="Grid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0" w:customStyle="1">
    <w:name w:val="Grid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1" w:customStyle="1">
    <w:name w:val="Grid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2" w:customStyle="1">
    <w:name w:val="Grid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3" w:customStyle="1">
    <w:name w:val="Grid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4" w:customStyle="1">
    <w:name w:val="Grid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5" w:customStyle="1">
    <w:name w:val="Grid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6" w:customStyle="1">
    <w:name w:val="List Table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5 Dark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6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9" w:customStyle="1">
    <w:name w:val="List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List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1" w:customStyle="1">
    <w:name w:val="List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List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3" w:customStyle="1">
    <w:name w:val="List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4" w:customStyle="1">
    <w:name w:val="List Table 7 Colorful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ned - Accent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3" w:customStyle="1">
    <w:name w:val="Lined - Accent 2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4" w:customStyle="1">
    <w:name w:val="Lined - Accent 3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5" w:customStyle="1">
    <w:name w:val="Lined - Accent 4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6" w:customStyle="1">
    <w:name w:val="Lined - Accent 5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7" w:customStyle="1">
    <w:name w:val="Lined - Accent 6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8" w:customStyle="1">
    <w:name w:val="Bordered &amp; Lined - Accent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0" w:customStyle="1">
    <w:name w:val="Bordered &amp; Lined - Accent 2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1" w:customStyle="1">
    <w:name w:val="Bordered &amp; Lined - Accent 3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2" w:customStyle="1">
    <w:name w:val="Bordered &amp; Lined - Accent 4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3" w:customStyle="1">
    <w:name w:val="Bordered &amp; Lined - Accent 5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4" w:customStyle="1">
    <w:name w:val="Bordered &amp; Lined - Accent 6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5" w:customStyle="1">
    <w:name w:val="Bordered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7" w:customStyle="1">
    <w:name w:val="Bordered - Accent 2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8" w:customStyle="1">
    <w:name w:val="Bordered - Accent 3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9" w:customStyle="1">
    <w:name w:val="Bordered - Accent 4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0" w:customStyle="1">
    <w:name w:val="Bordered - Accent 5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1" w:customStyle="1">
    <w:name w:val="Bordered - Accent 6"/>
    <w:basedOn w:val="6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563c1" w:themeColor="hyperlink"/>
      <w:u w:val="single"/>
    </w:rPr>
  </w:style>
  <w:style w:type="paragraph" w:styleId="833">
    <w:name w:val="footnote text"/>
    <w:basedOn w:val="67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 w:customStyle="1">
    <w:name w:val="Текст сноски Знак"/>
    <w:link w:val="833"/>
    <w:uiPriority w:val="99"/>
    <w:rPr>
      <w:sz w:val="18"/>
    </w:rPr>
  </w:style>
  <w:style w:type="character" w:styleId="835">
    <w:name w:val="footnote reference"/>
    <w:uiPriority w:val="99"/>
    <w:unhideWhenUsed/>
    <w:rPr>
      <w:vertAlign w:val="superscript"/>
    </w:rPr>
  </w:style>
  <w:style w:type="paragraph" w:styleId="836">
    <w:name w:val="endnote text"/>
    <w:basedOn w:val="670"/>
    <w:link w:val="837"/>
    <w:uiPriority w:val="99"/>
    <w:semiHidden/>
    <w:unhideWhenUsed/>
    <w:pPr>
      <w:spacing w:after="0" w:line="240" w:lineRule="auto"/>
    </w:pPr>
  </w:style>
  <w:style w:type="character" w:styleId="837" w:customStyle="1">
    <w:name w:val="Текст концевой сноски Знак"/>
    <w:link w:val="836"/>
    <w:uiPriority w:val="99"/>
    <w:rPr>
      <w:sz w:val="20"/>
    </w:rPr>
  </w:style>
  <w:style w:type="character" w:styleId="838">
    <w:name w:val="endnote reference"/>
    <w:uiPriority w:val="99"/>
    <w:semiHidden/>
    <w:unhideWhenUsed/>
    <w:rPr>
      <w:vertAlign w:val="superscript"/>
    </w:rPr>
  </w:style>
  <w:style w:type="paragraph" w:styleId="839">
    <w:name w:val="toc 1"/>
    <w:basedOn w:val="670"/>
    <w:next w:val="670"/>
    <w:uiPriority w:val="39"/>
    <w:unhideWhenUsed/>
    <w:pPr>
      <w:spacing w:after="57"/>
    </w:pPr>
  </w:style>
  <w:style w:type="paragraph" w:styleId="840">
    <w:name w:val="toc 2"/>
    <w:basedOn w:val="670"/>
    <w:next w:val="670"/>
    <w:uiPriority w:val="39"/>
    <w:unhideWhenUsed/>
    <w:pPr>
      <w:ind w:left="283"/>
      <w:spacing w:after="57"/>
    </w:pPr>
  </w:style>
  <w:style w:type="paragraph" w:styleId="841">
    <w:name w:val="toc 3"/>
    <w:basedOn w:val="670"/>
    <w:next w:val="670"/>
    <w:uiPriority w:val="39"/>
    <w:unhideWhenUsed/>
    <w:pPr>
      <w:ind w:left="567"/>
      <w:spacing w:after="57"/>
    </w:pPr>
  </w:style>
  <w:style w:type="paragraph" w:styleId="842">
    <w:name w:val="toc 4"/>
    <w:basedOn w:val="670"/>
    <w:next w:val="670"/>
    <w:uiPriority w:val="39"/>
    <w:unhideWhenUsed/>
    <w:pPr>
      <w:ind w:left="850"/>
      <w:spacing w:after="57"/>
    </w:pPr>
  </w:style>
  <w:style w:type="paragraph" w:styleId="843">
    <w:name w:val="toc 5"/>
    <w:basedOn w:val="670"/>
    <w:next w:val="670"/>
    <w:uiPriority w:val="39"/>
    <w:unhideWhenUsed/>
    <w:pPr>
      <w:ind w:left="1134"/>
      <w:spacing w:after="57"/>
    </w:pPr>
  </w:style>
  <w:style w:type="paragraph" w:styleId="844">
    <w:name w:val="toc 6"/>
    <w:basedOn w:val="670"/>
    <w:next w:val="670"/>
    <w:uiPriority w:val="39"/>
    <w:unhideWhenUsed/>
    <w:pPr>
      <w:ind w:left="1417"/>
      <w:spacing w:after="57"/>
    </w:pPr>
  </w:style>
  <w:style w:type="paragraph" w:styleId="845">
    <w:name w:val="toc 7"/>
    <w:basedOn w:val="670"/>
    <w:next w:val="670"/>
    <w:uiPriority w:val="39"/>
    <w:unhideWhenUsed/>
    <w:pPr>
      <w:ind w:left="1701"/>
      <w:spacing w:after="57"/>
    </w:pPr>
  </w:style>
  <w:style w:type="paragraph" w:styleId="846">
    <w:name w:val="toc 8"/>
    <w:basedOn w:val="670"/>
    <w:next w:val="670"/>
    <w:uiPriority w:val="39"/>
    <w:unhideWhenUsed/>
    <w:pPr>
      <w:ind w:left="1984"/>
      <w:spacing w:after="57"/>
    </w:pPr>
  </w:style>
  <w:style w:type="paragraph" w:styleId="847">
    <w:name w:val="toc 9"/>
    <w:basedOn w:val="670"/>
    <w:next w:val="670"/>
    <w:uiPriority w:val="39"/>
    <w:unhideWhenUsed/>
    <w:pPr>
      <w:ind w:left="2268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670"/>
    <w:next w:val="670"/>
    <w:uiPriority w:val="99"/>
    <w:unhideWhenUsed/>
    <w:pPr>
      <w:spacing w:after="0"/>
    </w:pPr>
  </w:style>
  <w:style w:type="paragraph" w:styleId="850">
    <w:name w:val="No Spacing"/>
    <w:basedOn w:val="670"/>
    <w:uiPriority w:val="1"/>
    <w:qFormat/>
    <w:pPr>
      <w:spacing w:after="0" w:line="240" w:lineRule="auto"/>
    </w:pPr>
  </w:style>
  <w:style w:type="paragraph" w:styleId="851">
    <w:name w:val="List Paragraph"/>
    <w:basedOn w:val="670"/>
    <w:uiPriority w:val="34"/>
    <w:qFormat/>
    <w:pPr>
      <w:contextualSpacing/>
      <w:ind w:left="720"/>
    </w:pPr>
  </w:style>
  <w:style w:type="paragraph" w:styleId="852">
    <w:name w:val="Balloon Text"/>
    <w:basedOn w:val="670"/>
    <w:link w:val="85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3" w:customStyle="1">
    <w:name w:val="Текст выноски Знак"/>
    <w:basedOn w:val="680"/>
    <w:link w:val="852"/>
    <w:uiPriority w:val="99"/>
    <w:semiHidden/>
    <w:rPr>
      <w:rFonts w:ascii="Tahoma" w:hAnsi="Tahoma" w:eastAsia="Liberation Sans" w:cs="Tahoma"/>
      <w:sz w:val="16"/>
      <w:szCs w:val="16"/>
    </w:rPr>
  </w:style>
  <w:style w:type="paragraph" w:styleId="854" w:customStyle="1">
    <w:name w:val="docdata"/>
    <w:basedOn w:val="6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5">
    <w:name w:val="Normal (Web)"/>
    <w:basedOn w:val="67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6" w:customStyle="1">
    <w:name w:val="2300"/>
    <w:basedOn w:val="680"/>
  </w:style>
  <w:style w:type="paragraph" w:styleId="1_798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1437" w:customStyle="1">
    <w:name w:val="1888"/>
    <w:basedOn w:val="841"/>
  </w:style>
  <w:style w:type="paragraph" w:styleId="1_3387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4450" w:customStyle="1">
    <w:name w:val="1492"/>
    <w:basedOn w:val="841"/>
  </w:style>
  <w:style w:type="character" w:styleId="1_4930" w:customStyle="1">
    <w:name w:val="1213"/>
    <w:basedOn w:val="841"/>
  </w:style>
  <w:style w:type="character" w:styleId="1_4932" w:customStyle="1">
    <w:name w:val="Основной текст (2)_"/>
    <w:basedOn w:val="841"/>
    <w:link w:val="856"/>
    <w:rPr>
      <w:rFonts w:ascii="Times New Roman" w:hAnsi="Times New Roman" w:eastAsia="Times New Roman" w:cs="Times New Roman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urait.ru/bcode/476085" TargetMode="External"/><Relationship Id="rId10" Type="http://schemas.openxmlformats.org/officeDocument/2006/relationships/hyperlink" Target="https://minfin.gov.ru/" TargetMode="External"/><Relationship Id="rId11" Type="http://schemas.openxmlformats.org/officeDocument/2006/relationships/hyperlink" Target="http://www.edu.pacc.ru" TargetMode="External"/><Relationship Id="rId12" Type="http://schemas.openxmlformats.org/officeDocument/2006/relationships/hyperlink" Target="http://www.pfr.gov.ru" TargetMode="External"/><Relationship Id="rId13" Type="http://schemas.openxmlformats.org/officeDocument/2006/relationships/hyperlink" Target="https://&#1084;&#1086;&#1080;&#1092;&#1080;&#1085;&#1072;&#1085;&#1089;&#1099;.&#1088;&#1092;/" TargetMode="External"/><Relationship Id="rId14" Type="http://schemas.openxmlformats.org/officeDocument/2006/relationships/hyperlink" Target="http://www.rospotrebnadzor.ru" TargetMode="External"/><Relationship Id="rId15" Type="http://schemas.openxmlformats.org/officeDocument/2006/relationships/hyperlink" Target="http://www.fmc.hse.ru" TargetMode="External"/><Relationship Id="rId16" Type="http://schemas.openxmlformats.org/officeDocument/2006/relationships/hyperlink" Target="http://www.cbr.ru/" TargetMode="External"/><Relationship Id="rId17" Type="http://schemas.openxmlformats.org/officeDocument/2006/relationships/hyperlink" Target="http://www.nalog.ru" TargetMode="External"/><Relationship Id="rId18" Type="http://schemas.openxmlformats.org/officeDocument/2006/relationships/hyperlink" Target="http://iurr.ranepa.ru/centry/finlit/" TargetMode="External"/><Relationship Id="rId19" Type="http://schemas.openxmlformats.org/officeDocument/2006/relationships/hyperlink" Target="https://fincult.info/" TargetMode="External"/><Relationship Id="rId20" Type="http://schemas.openxmlformats.org/officeDocument/2006/relationships/hyperlink" Target="https://&#1096;&#1082;&#1086;&#1083;&#1072;.&#1074;&#1072;&#1096;&#1080;&#1092;&#1080;&#1085;&#1072;&#1085;&#1089;&#1099;.&#1088;&#1092;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7</cp:revision>
  <dcterms:created xsi:type="dcterms:W3CDTF">2025-03-03T04:55:00Z</dcterms:created>
  <dcterms:modified xsi:type="dcterms:W3CDTF">2025-07-10T06:32:25Z</dcterms:modified>
</cp:coreProperties>
</file>